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F0E74" w:rsidRPr="006172B4" w:rsidRDefault="009F0E74">
      <w:pPr>
        <w:pStyle w:val="AttorneyName"/>
        <w:rPr>
          <w:rFonts w:cstheme="minorHAnsi"/>
          <w:sz w:val="24"/>
          <w:szCs w:val="24"/>
        </w:rPr>
      </w:pPr>
    </w:p>
    <w:p w:rsidR="009F0E74" w:rsidRPr="006172B4" w:rsidRDefault="0022377B">
      <w:pPr>
        <w:pStyle w:val="CourtName"/>
        <w:rPr>
          <w:rStyle w:val="CourtNameChar"/>
          <w:rFonts w:cstheme="minorHAnsi"/>
          <w:caps/>
          <w:sz w:val="24"/>
          <w:szCs w:val="24"/>
        </w:rPr>
      </w:pPr>
      <w:r w:rsidRPr="006172B4">
        <w:rPr>
          <w:rStyle w:val="CourtNameChar"/>
          <w:rFonts w:cstheme="minorHAnsi"/>
          <w:caps/>
          <w:sz w:val="24"/>
          <w:szCs w:val="24"/>
        </w:rPr>
        <w:t>Public utility commission of texas</w:t>
      </w:r>
    </w:p>
    <w:p w:rsidR="009F0E74" w:rsidRPr="006172B4" w:rsidRDefault="009F0E74">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tc>
          <w:tcPr>
            <w:tcW w:w="2500" w:type="pct"/>
            <w:tcBorders>
              <w:bottom w:val="single" w:sz="4" w:space="0" w:color="auto"/>
              <w:right w:val="single" w:sz="4" w:space="0" w:color="auto"/>
            </w:tcBorders>
          </w:tcPr>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rsidR="009F0E74" w:rsidRPr="006172B4" w:rsidRDefault="009F0E74">
            <w:pPr>
              <w:spacing w:line="264" w:lineRule="auto"/>
              <w:rPr>
                <w:rFonts w:cstheme="minorHAnsi"/>
                <w:sz w:val="24"/>
                <w:szCs w:val="24"/>
              </w:rPr>
            </w:pPr>
          </w:p>
        </w:tc>
        <w:tc>
          <w:tcPr>
            <w:tcW w:w="2500" w:type="pct"/>
            <w:tcBorders>
              <w:left w:val="nil"/>
            </w:tcBorders>
            <w:tcMar>
              <w:left w:w="115" w:type="dxa"/>
            </w:tcMar>
          </w:tcPr>
          <w:p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rsidR="00C27183" w:rsidRPr="00055682" w:rsidRDefault="0037456F" w:rsidP="00C27183">
            <w:pPr>
              <w:pStyle w:val="CaseNo"/>
              <w:spacing w:after="0"/>
              <w:rPr>
                <w:rStyle w:val="CaseNoChar"/>
                <w:sz w:val="24"/>
                <w:szCs w:val="24"/>
              </w:rPr>
            </w:pPr>
            <w:r w:rsidRPr="00055682">
              <w:rPr>
                <w:rStyle w:val="CaseNoChar"/>
                <w:rFonts w:cstheme="minorHAnsi"/>
                <w:sz w:val="24"/>
                <w:szCs w:val="24"/>
              </w:rPr>
              <w:t>P</w:t>
            </w:r>
            <w:r w:rsidRPr="00055682">
              <w:rPr>
                <w:rStyle w:val="CaseNoChar"/>
                <w:sz w:val="24"/>
                <w:szCs w:val="24"/>
              </w:rPr>
              <w:t xml:space="preserve">ATRICK CLEVELAND’S </w:t>
            </w:r>
          </w:p>
          <w:p w:rsidR="00C27183" w:rsidRPr="00055682" w:rsidRDefault="0049347D" w:rsidP="00C27183">
            <w:pPr>
              <w:pStyle w:val="CaseNo"/>
              <w:spacing w:after="0"/>
              <w:rPr>
                <w:rStyle w:val="CaseNoChar"/>
                <w:sz w:val="24"/>
                <w:szCs w:val="24"/>
              </w:rPr>
            </w:pPr>
            <w:r>
              <w:rPr>
                <w:rStyle w:val="CaseNoChar"/>
                <w:sz w:val="24"/>
                <w:szCs w:val="24"/>
              </w:rPr>
              <w:t>RE</w:t>
            </w:r>
            <w:r w:rsidR="00FF2673">
              <w:rPr>
                <w:rStyle w:val="CaseNoChar"/>
                <w:sz w:val="24"/>
                <w:szCs w:val="24"/>
              </w:rPr>
              <w:t xml:space="preserve">PLY </w:t>
            </w:r>
            <w:r>
              <w:rPr>
                <w:rStyle w:val="CaseNoChar"/>
                <w:sz w:val="24"/>
                <w:szCs w:val="24"/>
              </w:rPr>
              <w:t xml:space="preserve">TO CPS ENERGY’S RESPONSE TO </w:t>
            </w:r>
            <w:r w:rsidR="0037456F" w:rsidRPr="00055682">
              <w:rPr>
                <w:rStyle w:val="CaseNoChar"/>
                <w:sz w:val="24"/>
                <w:szCs w:val="24"/>
              </w:rPr>
              <w:t>STATEMENT</w:t>
            </w:r>
            <w:r>
              <w:rPr>
                <w:rStyle w:val="CaseNoChar"/>
                <w:sz w:val="24"/>
                <w:szCs w:val="24"/>
              </w:rPr>
              <w:t>S</w:t>
            </w:r>
            <w:r w:rsidR="0037456F" w:rsidRPr="00055682">
              <w:rPr>
                <w:rStyle w:val="CaseNoChar"/>
                <w:sz w:val="24"/>
                <w:szCs w:val="24"/>
              </w:rPr>
              <w:t xml:space="preserve"> OF ROUTE ADEQUACY</w:t>
            </w:r>
            <w:r w:rsidR="00055682" w:rsidRPr="00055682">
              <w:rPr>
                <w:rStyle w:val="CaseNoChar"/>
                <w:sz w:val="24"/>
                <w:szCs w:val="24"/>
              </w:rPr>
              <w:t xml:space="preserve"> </w:t>
            </w:r>
          </w:p>
          <w:p w:rsidR="009F0E74" w:rsidRPr="006172B4" w:rsidRDefault="009F0E74">
            <w:pPr>
              <w:pStyle w:val="Pleadingtitle"/>
              <w:rPr>
                <w:rFonts w:cstheme="minorHAnsi"/>
                <w:sz w:val="24"/>
                <w:szCs w:val="24"/>
              </w:rPr>
            </w:pPr>
          </w:p>
        </w:tc>
      </w:tr>
    </w:tbl>
    <w:p w:rsidR="009F0E74" w:rsidRPr="006172B4" w:rsidRDefault="009F0E74">
      <w:pPr>
        <w:pStyle w:val="NoSpacing"/>
        <w:rPr>
          <w:rFonts w:cstheme="minorHAnsi"/>
          <w:sz w:val="24"/>
          <w:szCs w:val="24"/>
        </w:rPr>
      </w:pPr>
    </w:p>
    <w:p w:rsidR="00C27183" w:rsidRPr="00C27183" w:rsidRDefault="0037456F" w:rsidP="0037456F">
      <w:pPr>
        <w:ind w:left="2880" w:firstLine="720"/>
        <w:rPr>
          <w:rFonts w:cstheme="minorHAnsi"/>
          <w:b/>
          <w:bCs/>
          <w:sz w:val="28"/>
          <w:szCs w:val="28"/>
        </w:rPr>
      </w:pPr>
      <w:r>
        <w:rPr>
          <w:rFonts w:cstheme="minorHAnsi"/>
          <w:b/>
          <w:bCs/>
          <w:sz w:val="28"/>
          <w:szCs w:val="28"/>
        </w:rPr>
        <w:t xml:space="preserve">Introduction </w:t>
      </w:r>
    </w:p>
    <w:p w:rsidR="003E38DE" w:rsidRDefault="0037456F" w:rsidP="00C15C1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Patrick Cleveland, respectfully submit this</w:t>
      </w:r>
      <w:r w:rsidR="0049347D">
        <w:rPr>
          <w:rFonts w:ascii="Times New Roman" w:hAnsi="Times New Roman" w:cs="Times New Roman"/>
          <w:sz w:val="24"/>
          <w:szCs w:val="24"/>
        </w:rPr>
        <w:t xml:space="preserve"> R</w:t>
      </w:r>
      <w:r w:rsidR="00FF2673">
        <w:rPr>
          <w:rFonts w:ascii="Times New Roman" w:hAnsi="Times New Roman" w:cs="Times New Roman"/>
          <w:sz w:val="24"/>
          <w:szCs w:val="24"/>
        </w:rPr>
        <w:t>eply</w:t>
      </w:r>
      <w:r w:rsidR="0049347D">
        <w:rPr>
          <w:rFonts w:ascii="Times New Roman" w:hAnsi="Times New Roman" w:cs="Times New Roman"/>
          <w:sz w:val="24"/>
          <w:szCs w:val="24"/>
        </w:rPr>
        <w:t xml:space="preserve"> to CPS Energy’s Response to Statements of Route Adequacy in </w:t>
      </w:r>
      <w:r>
        <w:rPr>
          <w:rFonts w:ascii="Times New Roman" w:hAnsi="Times New Roman" w:cs="Times New Roman"/>
          <w:sz w:val="24"/>
          <w:szCs w:val="24"/>
        </w:rPr>
        <w:t xml:space="preserve">the above titled and numbered case.  </w:t>
      </w:r>
    </w:p>
    <w:p w:rsidR="003E38DE" w:rsidRDefault="003E38DE" w:rsidP="00C27183">
      <w:pPr>
        <w:autoSpaceDE w:val="0"/>
        <w:autoSpaceDN w:val="0"/>
        <w:adjustRightInd w:val="0"/>
        <w:spacing w:line="360" w:lineRule="auto"/>
        <w:ind w:firstLine="0"/>
        <w:rPr>
          <w:rFonts w:ascii="Times New Roman" w:hAnsi="Times New Roman" w:cs="Times New Roman"/>
          <w:sz w:val="24"/>
          <w:szCs w:val="24"/>
        </w:rPr>
      </w:pPr>
    </w:p>
    <w:p w:rsidR="003E38DE" w:rsidRPr="003E38DE" w:rsidRDefault="0049347D" w:rsidP="0049347D">
      <w:pPr>
        <w:autoSpaceDE w:val="0"/>
        <w:autoSpaceDN w:val="0"/>
        <w:adjustRightInd w:val="0"/>
        <w:spacing w:line="360" w:lineRule="auto"/>
        <w:ind w:left="1440"/>
        <w:rPr>
          <w:rFonts w:ascii="Times New Roman" w:hAnsi="Times New Roman" w:cs="Times New Roman"/>
          <w:b/>
          <w:bCs/>
          <w:sz w:val="28"/>
          <w:szCs w:val="28"/>
        </w:rPr>
      </w:pPr>
      <w:r>
        <w:rPr>
          <w:rFonts w:ascii="Times New Roman" w:hAnsi="Times New Roman" w:cs="Times New Roman"/>
          <w:b/>
          <w:bCs/>
          <w:sz w:val="28"/>
          <w:szCs w:val="28"/>
        </w:rPr>
        <w:t>Clarification and Amendment</w:t>
      </w:r>
    </w:p>
    <w:p w:rsidR="003E38DE" w:rsidRDefault="003E38DE" w:rsidP="00C27183">
      <w:pPr>
        <w:autoSpaceDE w:val="0"/>
        <w:autoSpaceDN w:val="0"/>
        <w:adjustRightInd w:val="0"/>
        <w:spacing w:line="360" w:lineRule="auto"/>
        <w:ind w:firstLine="0"/>
        <w:rPr>
          <w:rFonts w:ascii="Times New Roman" w:hAnsi="Times New Roman" w:cs="Times New Roman"/>
          <w:sz w:val="24"/>
          <w:szCs w:val="24"/>
        </w:rPr>
      </w:pPr>
    </w:p>
    <w:p w:rsidR="00A0013B" w:rsidRDefault="0049347D" w:rsidP="0079527D">
      <w:pPr>
        <w:ind w:firstLine="720"/>
        <w:rPr>
          <w:rFonts w:cstheme="minorHAnsi"/>
          <w:color w:val="000000"/>
          <w:sz w:val="24"/>
          <w:szCs w:val="24"/>
          <w:shd w:val="clear" w:color="auto" w:fill="FFFFFF"/>
        </w:rPr>
      </w:pPr>
      <w:r>
        <w:rPr>
          <w:rFonts w:cstheme="minorHAnsi"/>
          <w:color w:val="000000"/>
          <w:sz w:val="24"/>
          <w:szCs w:val="24"/>
          <w:shd w:val="clear" w:color="auto" w:fill="FFFFFF"/>
        </w:rPr>
        <w:t xml:space="preserve">First, I must apologize for an error made in my initial Statement of Route Adequacy regarding Segment 42 not following a property line.  What I intended to state is that Segment 49 </w:t>
      </w:r>
      <w:r w:rsidR="00A0013B">
        <w:rPr>
          <w:rFonts w:cstheme="minorHAnsi"/>
          <w:color w:val="000000"/>
          <w:sz w:val="24"/>
          <w:szCs w:val="24"/>
          <w:shd w:val="clear" w:color="auto" w:fill="FFFFFF"/>
        </w:rPr>
        <w:t xml:space="preserve">(not Segment 42) </w:t>
      </w:r>
      <w:r>
        <w:rPr>
          <w:rFonts w:cstheme="minorHAnsi"/>
          <w:color w:val="000000"/>
          <w:sz w:val="24"/>
          <w:szCs w:val="24"/>
          <w:shd w:val="clear" w:color="auto" w:fill="FFFFFF"/>
        </w:rPr>
        <w:t>could have followed the south property line of property B-006, but instead it dissects property B-006</w:t>
      </w:r>
      <w:r w:rsidR="00A0013B">
        <w:rPr>
          <w:rFonts w:cstheme="minorHAnsi"/>
          <w:color w:val="000000"/>
          <w:sz w:val="24"/>
          <w:szCs w:val="24"/>
          <w:shd w:val="clear" w:color="auto" w:fill="FFFFFF"/>
        </w:rPr>
        <w:t xml:space="preserve">.  See CPS Application, Attachment 6, Sheet 5.  As can be seen on the map, proposed Segment 49 follows an old ranch trail through Property B-006.  This is an example of a common pattern in CPS Energy’s Application and proposed routing as explained further below.  The pattern is that CPS Energy has ignored the </w:t>
      </w:r>
      <w:r w:rsidR="0057472A">
        <w:rPr>
          <w:rFonts w:cstheme="minorHAnsi"/>
          <w:color w:val="000000"/>
          <w:sz w:val="24"/>
          <w:szCs w:val="24"/>
          <w:shd w:val="clear" w:color="auto" w:fill="FFFFFF"/>
        </w:rPr>
        <w:t xml:space="preserve">criteria </w:t>
      </w:r>
      <w:r w:rsidR="00A0013B">
        <w:rPr>
          <w:rFonts w:cstheme="minorHAnsi"/>
          <w:color w:val="000000"/>
          <w:sz w:val="24"/>
          <w:szCs w:val="24"/>
          <w:shd w:val="clear" w:color="auto" w:fill="FFFFFF"/>
        </w:rPr>
        <w:t xml:space="preserve">in </w:t>
      </w:r>
      <w:r w:rsidR="00A0013B">
        <w:rPr>
          <w:color w:val="000000"/>
          <w:sz w:val="24"/>
          <w:szCs w:val="24"/>
        </w:rPr>
        <w:t>16 Tex. Admin. Code § 25.10</w:t>
      </w:r>
      <w:r w:rsidR="0057472A">
        <w:rPr>
          <w:color w:val="000000"/>
          <w:sz w:val="24"/>
          <w:szCs w:val="24"/>
        </w:rPr>
        <w:t xml:space="preserve">1 </w:t>
      </w:r>
      <w:r w:rsidR="00A0013B">
        <w:rPr>
          <w:color w:val="000000"/>
          <w:sz w:val="24"/>
          <w:szCs w:val="24"/>
        </w:rPr>
        <w:t xml:space="preserve">in creating proposed routes, and instead, has used cost as the number one criterion.  </w:t>
      </w:r>
      <w:r w:rsidR="00A0013B">
        <w:rPr>
          <w:rFonts w:cstheme="minorHAnsi"/>
          <w:color w:val="000000"/>
          <w:sz w:val="24"/>
          <w:szCs w:val="24"/>
          <w:shd w:val="clear" w:color="auto" w:fill="FFFFFF"/>
        </w:rPr>
        <w:t xml:space="preserve">CPS Energy cleverly disguises this criterion, when convenient, by claiming certain routes are not desired due to environmental, aesthetic and cultural reasons, as well as “engineering constraints.”  </w:t>
      </w:r>
      <w:r w:rsidR="00A0013B">
        <w:rPr>
          <w:rFonts w:cstheme="minorHAnsi"/>
          <w:color w:val="000000"/>
          <w:sz w:val="24"/>
          <w:szCs w:val="24"/>
          <w:shd w:val="clear" w:color="auto" w:fill="FFFFFF"/>
        </w:rPr>
        <w:lastRenderedPageBreak/>
        <w:t xml:space="preserve">Looking at the map identified above, it’s clear that CPS Energy proposed Segment 49 in its current location because of cost, in that the length is shorter than following the property line, the land is relatively level, and there are less trees to clear.  </w:t>
      </w:r>
    </w:p>
    <w:p w:rsidR="00A0013B" w:rsidRDefault="00A0013B" w:rsidP="0079527D">
      <w:pPr>
        <w:ind w:firstLine="720"/>
        <w:rPr>
          <w:rFonts w:cstheme="minorHAnsi"/>
          <w:color w:val="000000"/>
          <w:sz w:val="24"/>
          <w:szCs w:val="24"/>
          <w:shd w:val="clear" w:color="auto" w:fill="FFFFFF"/>
        </w:rPr>
      </w:pPr>
    </w:p>
    <w:p w:rsidR="00A0013B" w:rsidRPr="00A0013B" w:rsidRDefault="004F75C7" w:rsidP="0079527D">
      <w:pPr>
        <w:ind w:firstLine="720"/>
        <w:rPr>
          <w:rFonts w:cstheme="minorHAnsi"/>
          <w:b/>
          <w:bCs/>
          <w:color w:val="000000"/>
          <w:sz w:val="28"/>
          <w:szCs w:val="28"/>
          <w:shd w:val="clear" w:color="auto" w:fill="FFFFFF"/>
        </w:rPr>
      </w:pPr>
      <w:r>
        <w:rPr>
          <w:rFonts w:cstheme="minorHAnsi"/>
          <w:b/>
          <w:bCs/>
          <w:color w:val="000000"/>
          <w:sz w:val="28"/>
          <w:szCs w:val="28"/>
          <w:shd w:val="clear" w:color="auto" w:fill="FFFFFF"/>
        </w:rPr>
        <w:t xml:space="preserve">Additional </w:t>
      </w:r>
      <w:r w:rsidR="00A0013B" w:rsidRPr="00A0013B">
        <w:rPr>
          <w:rFonts w:cstheme="minorHAnsi"/>
          <w:b/>
          <w:bCs/>
          <w:color w:val="000000"/>
          <w:sz w:val="28"/>
          <w:szCs w:val="28"/>
          <w:shd w:val="clear" w:color="auto" w:fill="FFFFFF"/>
        </w:rPr>
        <w:t>Re</w:t>
      </w:r>
      <w:r w:rsidR="00FF2673">
        <w:rPr>
          <w:rFonts w:cstheme="minorHAnsi"/>
          <w:b/>
          <w:bCs/>
          <w:color w:val="000000"/>
          <w:sz w:val="28"/>
          <w:szCs w:val="28"/>
          <w:shd w:val="clear" w:color="auto" w:fill="FFFFFF"/>
        </w:rPr>
        <w:t>ply</w:t>
      </w:r>
      <w:r w:rsidR="00A0013B" w:rsidRPr="00A0013B">
        <w:rPr>
          <w:rFonts w:cstheme="minorHAnsi"/>
          <w:b/>
          <w:bCs/>
          <w:color w:val="000000"/>
          <w:sz w:val="28"/>
          <w:szCs w:val="28"/>
          <w:shd w:val="clear" w:color="auto" w:fill="FFFFFF"/>
        </w:rPr>
        <w:t xml:space="preserve"> to CPS Energy’s Response on Route Adequacy</w:t>
      </w:r>
    </w:p>
    <w:p w:rsidR="00A0013B" w:rsidRDefault="00A0013B" w:rsidP="00A0013B">
      <w:pPr>
        <w:autoSpaceDE w:val="0"/>
        <w:autoSpaceDN w:val="0"/>
        <w:adjustRightInd w:val="0"/>
        <w:ind w:firstLine="720"/>
        <w:rPr>
          <w:rFonts w:ascii="Times New Roman" w:hAnsi="Times New Roman" w:cs="Times New Roman"/>
          <w:sz w:val="24"/>
          <w:szCs w:val="24"/>
        </w:rPr>
      </w:pPr>
      <w:r>
        <w:rPr>
          <w:rFonts w:cstheme="minorHAnsi"/>
          <w:color w:val="000000"/>
          <w:sz w:val="24"/>
          <w:szCs w:val="24"/>
          <w:shd w:val="clear" w:color="auto" w:fill="FFFFFF"/>
        </w:rPr>
        <w:t>With respect to Segment 17, CPS Energy stated in its Response to Statements on Route Adequacy (hereinafter Response) that my alternative route “</w:t>
      </w:r>
      <w:r>
        <w:rPr>
          <w:rFonts w:ascii="Times New Roman" w:hAnsi="Times New Roman" w:cs="Times New Roman"/>
          <w:sz w:val="24"/>
          <w:szCs w:val="24"/>
        </w:rPr>
        <w:t>would result in the line taking several 90 degree turns in close proximity to each other, resulting in the clearing of significant existing trees and wildlife habitat, and significantly increasing both the estimated cost and aesthetic impact of the routing.”  Just to clarify, my proposed route wouldn’t necessarily have to follow the property line exactly</w:t>
      </w:r>
      <w:r w:rsidR="0057472A">
        <w:rPr>
          <w:rFonts w:ascii="Times New Roman" w:hAnsi="Times New Roman" w:cs="Times New Roman"/>
          <w:sz w:val="24"/>
          <w:szCs w:val="24"/>
        </w:rPr>
        <w:t xml:space="preserve">, just as other segments proposed by CPS Energy do not.  See for example, Segments </w:t>
      </w:r>
      <w:r w:rsidR="000E5CFD">
        <w:rPr>
          <w:rFonts w:ascii="Times New Roman" w:hAnsi="Times New Roman" w:cs="Times New Roman"/>
          <w:sz w:val="24"/>
          <w:szCs w:val="24"/>
        </w:rPr>
        <w:t xml:space="preserve">26, </w:t>
      </w:r>
      <w:r w:rsidR="0057472A">
        <w:rPr>
          <w:rFonts w:ascii="Times New Roman" w:hAnsi="Times New Roman" w:cs="Times New Roman"/>
          <w:sz w:val="24"/>
          <w:szCs w:val="24"/>
        </w:rPr>
        <w:t>43, 44, 45 and 49</w:t>
      </w:r>
      <w:r>
        <w:rPr>
          <w:rFonts w:ascii="Times New Roman" w:hAnsi="Times New Roman" w:cs="Times New Roman"/>
          <w:sz w:val="24"/>
          <w:szCs w:val="24"/>
        </w:rPr>
        <w:t xml:space="preserve">.  As can be seen on the map, there is a line of cleared trees on Property A-132 that runs in a northwest to southeast angle as it goes into Property A-128.  See CPS Application, Attachment 6, Sheet 7.  Then, the proposed route could follow the west property line of Property A-128.  </w:t>
      </w:r>
      <w:r w:rsidRPr="00A0013B">
        <w:rPr>
          <w:rFonts w:ascii="Times New Roman" w:hAnsi="Times New Roman" w:cs="Times New Roman"/>
          <w:i/>
          <w:iCs/>
          <w:sz w:val="24"/>
          <w:szCs w:val="24"/>
        </w:rPr>
        <w:t>Id.</w:t>
      </w:r>
      <w:r>
        <w:rPr>
          <w:rFonts w:ascii="Times New Roman" w:hAnsi="Times New Roman" w:cs="Times New Roman"/>
          <w:sz w:val="24"/>
          <w:szCs w:val="24"/>
        </w:rPr>
        <w:t xml:space="preserve">  The result is that there would be no additional right angles and actually less trees to clear than the existing route (based on map appearance).  Most importantly, such a route would not affect the 23 properties of the Scenic Hills development. </w:t>
      </w:r>
    </w:p>
    <w:p w:rsidR="00A0013B" w:rsidRDefault="00A0013B" w:rsidP="00A0013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With respect to Segment 32, CPS Energy stated in its Response that my alternative rout</w:t>
      </w:r>
      <w:r w:rsidR="00315259">
        <w:rPr>
          <w:rFonts w:ascii="Times New Roman" w:hAnsi="Times New Roman" w:cs="Times New Roman"/>
          <w:sz w:val="24"/>
          <w:szCs w:val="24"/>
        </w:rPr>
        <w:t>e</w:t>
      </w:r>
      <w:r w:rsidRPr="00A0013B">
        <w:rPr>
          <w:rFonts w:ascii="Times New Roman" w:hAnsi="Times New Roman" w:cs="Times New Roman"/>
          <w:sz w:val="24"/>
          <w:szCs w:val="24"/>
        </w:rPr>
        <w:t xml:space="preserve"> </w:t>
      </w:r>
      <w:r>
        <w:rPr>
          <w:rFonts w:ascii="Times New Roman" w:hAnsi="Times New Roman" w:cs="Times New Roman"/>
          <w:sz w:val="24"/>
          <w:szCs w:val="24"/>
        </w:rPr>
        <w:t>“would result in the requirement to include significant angle structures, backtracking of the routing or cutting interior through properties, resulting in the same increased costs and environmental and aesthetic impacts</w:t>
      </w:r>
      <w:r w:rsidR="000E371D">
        <w:rPr>
          <w:rFonts w:ascii="Times New Roman" w:hAnsi="Times New Roman" w:cs="Times New Roman"/>
          <w:sz w:val="24"/>
          <w:szCs w:val="24"/>
        </w:rPr>
        <w:t xml:space="preserve"> </w:t>
      </w:r>
      <w:r>
        <w:rPr>
          <w:rFonts w:ascii="Times New Roman" w:hAnsi="Times New Roman" w:cs="Times New Roman"/>
          <w:sz w:val="24"/>
          <w:szCs w:val="24"/>
        </w:rPr>
        <w:t xml:space="preserve">. . . .”   I disagree.  As it stands, </w:t>
      </w:r>
      <w:r w:rsidR="00C208C8">
        <w:rPr>
          <w:rFonts w:ascii="Times New Roman" w:hAnsi="Times New Roman" w:cs="Times New Roman"/>
          <w:sz w:val="24"/>
          <w:szCs w:val="24"/>
        </w:rPr>
        <w:t xml:space="preserve">that specific area of </w:t>
      </w:r>
      <w:r>
        <w:rPr>
          <w:rFonts w:ascii="Times New Roman" w:hAnsi="Times New Roman" w:cs="Times New Roman"/>
          <w:sz w:val="24"/>
          <w:szCs w:val="24"/>
        </w:rPr>
        <w:t xml:space="preserve">Segment 32 goes through two properties, C-029 and C-028, with one angle.  See CPS </w:t>
      </w:r>
      <w:r>
        <w:rPr>
          <w:rFonts w:ascii="Times New Roman" w:hAnsi="Times New Roman" w:cs="Times New Roman"/>
          <w:sz w:val="24"/>
          <w:szCs w:val="24"/>
        </w:rPr>
        <w:lastRenderedPageBreak/>
        <w:t xml:space="preserve">Application, Attachment 6, Sheet 7.  In my initial Statement, I indicated that the proposed segment could’ve followed the west property lines of </w:t>
      </w:r>
      <w:r>
        <w:rPr>
          <w:rFonts w:cstheme="minorHAnsi"/>
          <w:color w:val="000000"/>
          <w:sz w:val="24"/>
          <w:szCs w:val="24"/>
        </w:rPr>
        <w:t xml:space="preserve">C-029, T-052, T-051, K-012 and K-014, but there are also other options in an effort to avoid the Sundance Ranch development.  Another proposed segment could turn east at the south property line of Property C-029 in which case </w:t>
      </w:r>
      <w:r>
        <w:rPr>
          <w:rFonts w:ascii="Times New Roman" w:hAnsi="Times New Roman" w:cs="Times New Roman"/>
          <w:sz w:val="24"/>
          <w:szCs w:val="24"/>
        </w:rPr>
        <w:t xml:space="preserve">the segment </w:t>
      </w:r>
      <w:r w:rsidR="00C208C8">
        <w:rPr>
          <w:rFonts w:ascii="Times New Roman" w:hAnsi="Times New Roman" w:cs="Times New Roman"/>
          <w:sz w:val="24"/>
          <w:szCs w:val="24"/>
        </w:rPr>
        <w:t xml:space="preserve">in that area </w:t>
      </w:r>
      <w:r>
        <w:rPr>
          <w:rFonts w:ascii="Times New Roman" w:hAnsi="Times New Roman" w:cs="Times New Roman"/>
          <w:sz w:val="24"/>
          <w:szCs w:val="24"/>
        </w:rPr>
        <w:t xml:space="preserve">would go through one property, C-029, and have two angles if it was slightly away from the property line:  One near the middle of Property C-029 and one at the south property line of Property C-029.   Most importantly, such a route would not affect the 23 properties in the Sundance Ranch development. </w:t>
      </w:r>
    </w:p>
    <w:p w:rsidR="0057472A" w:rsidRDefault="00A0013B" w:rsidP="0057472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With respect to Segment 55, CPS Energy stated in its Response that </w:t>
      </w:r>
      <w:r w:rsidR="0057472A">
        <w:rPr>
          <w:rFonts w:ascii="Times New Roman" w:hAnsi="Times New Roman" w:cs="Times New Roman"/>
          <w:sz w:val="24"/>
          <w:szCs w:val="24"/>
        </w:rPr>
        <w:t xml:space="preserve">my alternative route “would cross directly over the area of active subdivision and development of that area.”  I disagree.  My proposed segment would follow the southern property line of Property O-084 in an area that according to the appearance of the map, is not developed.  See CPS Application, Attachment 6, Sheet 13.  If CPS Energy is alluding that Property O-084 is going to be developed, then their northern route is not any different than my southern route, as both would hug the property line.   Also, my proposed segment would have no more angles than the existing segments if it did not hug the property line exactly.  In addition, there is already an existing segment (Segment 56) that goes through this “area of active subdivision and development . . . .” Most importantly, my proposed route would not be adjacent to and affect the 26 properties in the Canyons development. </w:t>
      </w:r>
    </w:p>
    <w:p w:rsidR="0057472A" w:rsidRDefault="0057472A" w:rsidP="0057472A">
      <w:pPr>
        <w:autoSpaceDE w:val="0"/>
        <w:autoSpaceDN w:val="0"/>
        <w:adjustRightInd w:val="0"/>
        <w:ind w:firstLine="720"/>
        <w:rPr>
          <w:color w:val="000000"/>
          <w:sz w:val="24"/>
          <w:szCs w:val="24"/>
        </w:rPr>
      </w:pPr>
      <w:r>
        <w:rPr>
          <w:rFonts w:ascii="Times New Roman" w:hAnsi="Times New Roman" w:cs="Times New Roman"/>
          <w:sz w:val="24"/>
          <w:szCs w:val="24"/>
        </w:rPr>
        <w:t>With respect to my proposed segment following Toutant Beauregard Road to Balcones Creek, CPS Energy obviously chose cost over the criteria in 1</w:t>
      </w:r>
      <w:r>
        <w:rPr>
          <w:color w:val="000000"/>
          <w:sz w:val="24"/>
          <w:szCs w:val="24"/>
        </w:rPr>
        <w:t xml:space="preserve">6 Tex. Admin. Code § 25.101, as its main complaint in its Response is “higher estimated costs”.  Even this argument, however, is empty as my proposed route would be shorter than 13 other existing proposed routes.  CPS </w:t>
      </w:r>
      <w:r>
        <w:rPr>
          <w:color w:val="000000"/>
          <w:sz w:val="24"/>
          <w:szCs w:val="24"/>
        </w:rPr>
        <w:lastRenderedPageBreak/>
        <w:t xml:space="preserve">Energy’s other reasons for not proposing such a route is that the route might have more “potential natural and cultural impacts than many other routes already existing in the Application.”  This argument is without merit.  There is not one proposed route by CPS Energy that adheres to all the criteria in 16 Tex. Admin. Code § 25.101.  Not a single one.  On the other hand, the most obvious route should be a route that adheres to all the criteria in </w:t>
      </w:r>
      <w:r>
        <w:rPr>
          <w:rFonts w:ascii="Times New Roman" w:hAnsi="Times New Roman" w:cs="Times New Roman"/>
          <w:sz w:val="24"/>
          <w:szCs w:val="24"/>
        </w:rPr>
        <w:t>1</w:t>
      </w:r>
      <w:r>
        <w:rPr>
          <w:color w:val="000000"/>
          <w:sz w:val="24"/>
          <w:szCs w:val="24"/>
        </w:rPr>
        <w:t xml:space="preserve">6 Tex. Admin. Code § 25.101.  This obvious route is one that follows Toutant Beauregard Road to Balcones Creek.   First, such a route would follow Toutant Beauregard Road, a two lane highway.  Second, there are existing electrical distribution lines along the entire length of such route.  Third, such a route would follow property lines.  Finally, such a route would adhere to prudent avoidance.  In other words, 100% of the length of the route could adhere to 100% of the criteria in </w:t>
      </w:r>
      <w:r>
        <w:rPr>
          <w:rFonts w:ascii="Times New Roman" w:hAnsi="Times New Roman" w:cs="Times New Roman"/>
          <w:sz w:val="24"/>
          <w:szCs w:val="24"/>
        </w:rPr>
        <w:t>1</w:t>
      </w:r>
      <w:r>
        <w:rPr>
          <w:color w:val="000000"/>
          <w:sz w:val="24"/>
          <w:szCs w:val="24"/>
        </w:rPr>
        <w:t xml:space="preserve">6 Tex. Admin. Code § 25.101.  Yet, CPS Energy failed to propose such a line because of cost, which is an empty argument as stated above.  </w:t>
      </w:r>
      <w:r w:rsidR="00315259">
        <w:rPr>
          <w:color w:val="000000"/>
          <w:sz w:val="24"/>
          <w:szCs w:val="24"/>
        </w:rPr>
        <w:t>T</w:t>
      </w:r>
      <w:r>
        <w:rPr>
          <w:color w:val="000000"/>
          <w:sz w:val="24"/>
          <w:szCs w:val="24"/>
        </w:rPr>
        <w:t xml:space="preserve">he true reason is lack of diligence caused by a pattern of choosing the shortest possible routes while being blind to the criteria required by law. </w:t>
      </w:r>
    </w:p>
    <w:p w:rsidR="00360EBF" w:rsidRDefault="00315259" w:rsidP="0057472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The foregoing are just some of the examples where CPS Energy proposed segments based on cost alone (in some cases because they are the shortest and in other cases because of terrain making it less costly).  But there are others.  Segments 26, 27 38, 43, 44, and 45 all could have followed property lines but they do not. </w:t>
      </w:r>
      <w:r w:rsidR="00360EBF">
        <w:rPr>
          <w:rFonts w:ascii="Times New Roman" w:hAnsi="Times New Roman" w:cs="Times New Roman"/>
          <w:sz w:val="24"/>
          <w:szCs w:val="24"/>
        </w:rPr>
        <w:t xml:space="preserve"> Also, it’s difficult to imagine any expert proposing the following segments unless such route was chosen by cost rather than environmental evaluation:</w:t>
      </w:r>
    </w:p>
    <w:p w:rsidR="00360EBF" w:rsidRDefault="00360EBF" w:rsidP="00360EBF">
      <w:pPr>
        <w:pStyle w:val="ListParagraph"/>
        <w:numPr>
          <w:ilvl w:val="0"/>
          <w:numId w:val="12"/>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Segment 15 crosses a cultural resource site and is within 1,000 feet of 10 other cultural resource sites. </w:t>
      </w:r>
    </w:p>
    <w:p w:rsidR="00360EBF" w:rsidRDefault="00360EBF" w:rsidP="00360EBF">
      <w:pPr>
        <w:pStyle w:val="ListParagraph"/>
        <w:numPr>
          <w:ilvl w:val="0"/>
          <w:numId w:val="12"/>
        </w:numPr>
        <w:autoSpaceDE w:val="0"/>
        <w:autoSpaceDN w:val="0"/>
        <w:adjustRightInd w:val="0"/>
        <w:rPr>
          <w:rFonts w:ascii="Times New Roman" w:hAnsi="Times New Roman" w:cs="Times New Roman"/>
          <w:sz w:val="24"/>
          <w:szCs w:val="24"/>
        </w:rPr>
      </w:pPr>
      <w:r w:rsidRPr="00360EBF">
        <w:rPr>
          <w:rFonts w:ascii="Times New Roman" w:hAnsi="Times New Roman" w:cs="Times New Roman"/>
          <w:sz w:val="24"/>
          <w:szCs w:val="24"/>
        </w:rPr>
        <w:t xml:space="preserve">Segment 26 crosses a cultural resource site </w:t>
      </w:r>
      <w:r>
        <w:rPr>
          <w:rFonts w:ascii="Times New Roman" w:hAnsi="Times New Roman" w:cs="Times New Roman"/>
          <w:sz w:val="24"/>
          <w:szCs w:val="24"/>
        </w:rPr>
        <w:t xml:space="preserve">(presumably a cemetery) </w:t>
      </w:r>
      <w:r w:rsidRPr="00360EBF">
        <w:rPr>
          <w:rFonts w:ascii="Times New Roman" w:hAnsi="Times New Roman" w:cs="Times New Roman"/>
          <w:sz w:val="24"/>
          <w:szCs w:val="24"/>
        </w:rPr>
        <w:t>and is within 1,000 feet of five other cultural resource sites</w:t>
      </w:r>
    </w:p>
    <w:p w:rsidR="00360EBF" w:rsidRPr="00360EBF" w:rsidRDefault="00360EBF" w:rsidP="00360EBF">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Similarly, it is difficult to imagine any expert proposing Segments 2, 27, 31, 38, 40, 43, 44, 45, 48, and 49 because a significant portion of each of these segments satisfies none of the ROW criteria in 16 Tex. Admin. Code § 25.101 in that </w:t>
      </w:r>
      <w:r w:rsidR="00C208C8">
        <w:rPr>
          <w:rFonts w:ascii="Times New Roman" w:hAnsi="Times New Roman" w:cs="Times New Roman"/>
          <w:sz w:val="24"/>
          <w:szCs w:val="24"/>
        </w:rPr>
        <w:t>it f</w:t>
      </w:r>
      <w:r>
        <w:rPr>
          <w:rFonts w:ascii="Times New Roman" w:hAnsi="Times New Roman" w:cs="Times New Roman"/>
          <w:sz w:val="24"/>
          <w:szCs w:val="24"/>
        </w:rPr>
        <w:t>ollow</w:t>
      </w:r>
      <w:r w:rsidR="00C208C8">
        <w:rPr>
          <w:rFonts w:ascii="Times New Roman" w:hAnsi="Times New Roman" w:cs="Times New Roman"/>
          <w:sz w:val="24"/>
          <w:szCs w:val="24"/>
        </w:rPr>
        <w:t>s</w:t>
      </w:r>
      <w:r>
        <w:rPr>
          <w:rFonts w:ascii="Times New Roman" w:hAnsi="Times New Roman" w:cs="Times New Roman"/>
          <w:sz w:val="24"/>
          <w:szCs w:val="24"/>
        </w:rPr>
        <w:t xml:space="preserve"> no roads, existing electrical lines or property lines.  </w:t>
      </w:r>
    </w:p>
    <w:p w:rsidR="00315259" w:rsidRDefault="00315259" w:rsidP="0057472A">
      <w:pPr>
        <w:autoSpaceDE w:val="0"/>
        <w:autoSpaceDN w:val="0"/>
        <w:adjustRightInd w:val="0"/>
        <w:ind w:firstLine="720"/>
        <w:rPr>
          <w:color w:val="000000"/>
          <w:sz w:val="24"/>
          <w:szCs w:val="24"/>
        </w:rPr>
      </w:pPr>
    </w:p>
    <w:p w:rsidR="0057472A" w:rsidRPr="0057472A" w:rsidRDefault="00360EBF" w:rsidP="0057472A">
      <w:pPr>
        <w:autoSpaceDE w:val="0"/>
        <w:autoSpaceDN w:val="0"/>
        <w:adjustRightInd w:val="0"/>
        <w:ind w:left="2880" w:firstLine="720"/>
        <w:rPr>
          <w:rFonts w:ascii="Times New Roman" w:hAnsi="Times New Roman" w:cs="Times New Roman"/>
          <w:b/>
          <w:bCs/>
          <w:sz w:val="28"/>
          <w:szCs w:val="28"/>
        </w:rPr>
      </w:pPr>
      <w:r>
        <w:rPr>
          <w:rFonts w:ascii="Times New Roman" w:hAnsi="Times New Roman" w:cs="Times New Roman"/>
          <w:b/>
          <w:bCs/>
          <w:sz w:val="28"/>
          <w:szCs w:val="28"/>
        </w:rPr>
        <w:t>Conclusion</w:t>
      </w:r>
    </w:p>
    <w:p w:rsidR="00321E3B" w:rsidRDefault="00360EBF" w:rsidP="00360EBF">
      <w:pPr>
        <w:autoSpaceDE w:val="0"/>
        <w:autoSpaceDN w:val="0"/>
        <w:adjustRightInd w:val="0"/>
        <w:ind w:firstLine="720"/>
        <w:rPr>
          <w:color w:val="000000"/>
          <w:sz w:val="24"/>
          <w:szCs w:val="24"/>
        </w:rPr>
      </w:pPr>
      <w:r>
        <w:rPr>
          <w:rFonts w:ascii="Times New Roman" w:hAnsi="Times New Roman" w:cs="Times New Roman"/>
          <w:sz w:val="24"/>
          <w:szCs w:val="24"/>
        </w:rPr>
        <w:t xml:space="preserve">The above evidence shows that CPS Energy put the cart before the horse by creating proposed segments and routes based on cost, then, evaluating these segments and routes through its Environmental Assessment.  The result is that many of the proposed segments and routes inadequately comply with the criteria in </w:t>
      </w:r>
      <w:r w:rsidRPr="008C26FF">
        <w:rPr>
          <w:rFonts w:cstheme="minorHAnsi"/>
          <w:color w:val="000000"/>
          <w:sz w:val="24"/>
          <w:szCs w:val="24"/>
          <w:shd w:val="clear" w:color="auto" w:fill="FFFFFF"/>
        </w:rPr>
        <w:t xml:space="preserve">PURA § 37.056(c) </w:t>
      </w:r>
      <w:r>
        <w:rPr>
          <w:rFonts w:cstheme="minorHAnsi"/>
          <w:color w:val="000000"/>
          <w:sz w:val="24"/>
          <w:szCs w:val="24"/>
          <w:shd w:val="clear" w:color="auto" w:fill="FFFFFF"/>
        </w:rPr>
        <w:t>which include</w:t>
      </w:r>
      <w:r w:rsidRPr="008C26FF">
        <w:rPr>
          <w:rFonts w:cstheme="minorHAnsi"/>
          <w:color w:val="000000"/>
          <w:sz w:val="24"/>
          <w:szCs w:val="24"/>
          <w:shd w:val="clear" w:color="auto" w:fill="FFFFFF"/>
        </w:rPr>
        <w:t xml:space="preserve"> </w:t>
      </w:r>
      <w:r w:rsidRPr="008C26FF">
        <w:rPr>
          <w:color w:val="000000"/>
          <w:sz w:val="24"/>
          <w:szCs w:val="24"/>
        </w:rPr>
        <w:t>community values</w:t>
      </w:r>
      <w:r>
        <w:rPr>
          <w:color w:val="000000"/>
          <w:sz w:val="24"/>
          <w:szCs w:val="24"/>
        </w:rPr>
        <w:t xml:space="preserve"> . . . </w:t>
      </w:r>
      <w:r w:rsidRPr="008C26FF">
        <w:rPr>
          <w:color w:val="000000"/>
          <w:sz w:val="24"/>
          <w:szCs w:val="24"/>
        </w:rPr>
        <w:t>recreational and park areas</w:t>
      </w:r>
      <w:r>
        <w:rPr>
          <w:color w:val="000000"/>
          <w:sz w:val="24"/>
          <w:szCs w:val="24"/>
        </w:rPr>
        <w:t xml:space="preserve"> . . . </w:t>
      </w:r>
      <w:r w:rsidRPr="008C26FF">
        <w:rPr>
          <w:color w:val="000000"/>
          <w:sz w:val="24"/>
          <w:szCs w:val="24"/>
        </w:rPr>
        <w:t>historical and aesthetic values</w:t>
      </w:r>
      <w:r>
        <w:rPr>
          <w:color w:val="000000"/>
          <w:sz w:val="24"/>
          <w:szCs w:val="24"/>
        </w:rPr>
        <w:t xml:space="preserve"> [and] </w:t>
      </w:r>
      <w:r w:rsidRPr="008C26FF">
        <w:rPr>
          <w:color w:val="000000"/>
          <w:sz w:val="24"/>
          <w:szCs w:val="24"/>
        </w:rPr>
        <w:t>environmental integrity</w:t>
      </w:r>
      <w:r>
        <w:rPr>
          <w:color w:val="000000"/>
          <w:sz w:val="24"/>
          <w:szCs w:val="24"/>
        </w:rPr>
        <w:t>.  Nor do many of the segments and routes comply with the criteria in 16 Tex. Admin. Code § 25.101, which include following roads, existing electrical lines and property lines, and prudent avoidance.  In effect, the land owners in northwest Bexar County have been forced into an unfair fight whereby they must somehow choose the best option out of a field of inadequate an</w:t>
      </w:r>
      <w:r w:rsidR="00C208C8">
        <w:rPr>
          <w:color w:val="000000"/>
          <w:sz w:val="24"/>
          <w:szCs w:val="24"/>
        </w:rPr>
        <w:t>d</w:t>
      </w:r>
      <w:r>
        <w:rPr>
          <w:color w:val="000000"/>
          <w:sz w:val="24"/>
          <w:szCs w:val="24"/>
        </w:rPr>
        <w:t xml:space="preserve"> unviable options.  This should not be.  The land owners have a legal right to choose the best segments and routes out of an adequate number of viable routes.  </w:t>
      </w:r>
    </w:p>
    <w:p w:rsidR="00360EBF" w:rsidRPr="00610EB9" w:rsidRDefault="00360EBF" w:rsidP="00360EBF">
      <w:pPr>
        <w:autoSpaceDE w:val="0"/>
        <w:autoSpaceDN w:val="0"/>
        <w:adjustRightInd w:val="0"/>
        <w:ind w:firstLine="720"/>
        <w:rPr>
          <w:rFonts w:ascii="Times New Roman" w:hAnsi="Times New Roman" w:cs="Times New Roman"/>
          <w:sz w:val="24"/>
          <w:szCs w:val="24"/>
        </w:rPr>
      </w:pPr>
    </w:p>
    <w:p w:rsidR="008C26FF" w:rsidRPr="004F75C7" w:rsidRDefault="00002F1B" w:rsidP="000B2ED0">
      <w:pPr>
        <w:shd w:val="clear" w:color="auto" w:fill="FFFFFF"/>
        <w:spacing w:line="360" w:lineRule="auto"/>
        <w:ind w:left="2880" w:firstLine="720"/>
        <w:rPr>
          <w:b/>
          <w:bCs/>
          <w:color w:val="000000"/>
          <w:sz w:val="24"/>
          <w:szCs w:val="24"/>
        </w:rPr>
      </w:pPr>
      <w:r w:rsidRPr="004F75C7">
        <w:rPr>
          <w:b/>
          <w:bCs/>
          <w:color w:val="000000"/>
          <w:sz w:val="24"/>
          <w:szCs w:val="24"/>
        </w:rPr>
        <w:t>PRAYER FOR RELIEF</w:t>
      </w:r>
    </w:p>
    <w:p w:rsidR="002357C1" w:rsidRDefault="003E38DE" w:rsidP="00055682">
      <w:pPr>
        <w:autoSpaceDE w:val="0"/>
        <w:autoSpaceDN w:val="0"/>
        <w:adjustRightInd w:val="0"/>
        <w:ind w:firstLine="0"/>
        <w:rPr>
          <w:rFonts w:cstheme="minorHAnsi"/>
          <w:sz w:val="24"/>
          <w:szCs w:val="24"/>
        </w:rPr>
      </w:pPr>
      <w:r w:rsidRPr="008C26FF">
        <w:rPr>
          <w:rFonts w:cstheme="minorHAnsi"/>
          <w:color w:val="000000"/>
          <w:sz w:val="24"/>
          <w:szCs w:val="24"/>
        </w:rPr>
        <w:br/>
      </w:r>
      <w:r w:rsidR="00055682">
        <w:rPr>
          <w:rFonts w:cstheme="minorHAnsi"/>
          <w:sz w:val="24"/>
          <w:szCs w:val="24"/>
        </w:rPr>
        <w:t xml:space="preserve">    </w:t>
      </w:r>
      <w:r w:rsidR="00055682">
        <w:rPr>
          <w:rFonts w:cstheme="minorHAnsi"/>
          <w:sz w:val="24"/>
          <w:szCs w:val="24"/>
        </w:rPr>
        <w:tab/>
      </w:r>
      <w:r w:rsidR="00002F1B" w:rsidRPr="00002F1B">
        <w:rPr>
          <w:rFonts w:cstheme="minorHAnsi"/>
          <w:sz w:val="24"/>
          <w:szCs w:val="24"/>
        </w:rPr>
        <w:t xml:space="preserve">WHEREFORE, for the above reasons, I, Patrick Cleveland, respectfully request that CPS be ordered to, 1) conduct a valid evaluation of primary alternative routes based upon the requirements set forth in 11 PURA § 37.056(c)(4)(A)–(D), </w:t>
      </w:r>
      <w:r w:rsidR="00360EBF">
        <w:rPr>
          <w:rFonts w:cstheme="minorHAnsi"/>
          <w:sz w:val="24"/>
          <w:szCs w:val="24"/>
        </w:rPr>
        <w:t xml:space="preserve">16 Tex. Admin. Code § </w:t>
      </w:r>
      <w:r w:rsidR="00002F1B" w:rsidRPr="00002F1B">
        <w:rPr>
          <w:rFonts w:cstheme="minorHAnsi"/>
          <w:sz w:val="24"/>
          <w:szCs w:val="24"/>
        </w:rPr>
        <w:lastRenderedPageBreak/>
        <w:t>25.101(b)(3)(B), the Commission’s application requirements, and the issues commonly included for consideration in the Commission’s preliminary orders for CCN applications</w:t>
      </w:r>
      <w:r w:rsidR="00002F1B">
        <w:rPr>
          <w:rFonts w:cstheme="minorHAnsi"/>
          <w:sz w:val="24"/>
          <w:szCs w:val="24"/>
        </w:rPr>
        <w:t xml:space="preserve">; and 2) include a proposed segment that would follow Toutant Beauregard Road to Balcones Creek, then follow existing electrical distribution ROW to the </w:t>
      </w:r>
      <w:proofErr w:type="spellStart"/>
      <w:r w:rsidR="00002F1B">
        <w:rPr>
          <w:rFonts w:cstheme="minorHAnsi"/>
          <w:sz w:val="24"/>
          <w:szCs w:val="24"/>
        </w:rPr>
        <w:t>Ranchtown</w:t>
      </w:r>
      <w:proofErr w:type="spellEnd"/>
      <w:r w:rsidR="00002F1B">
        <w:rPr>
          <w:rFonts w:cstheme="minorHAnsi"/>
          <w:sz w:val="24"/>
          <w:szCs w:val="24"/>
        </w:rPr>
        <w:t xml:space="preserve"> to </w:t>
      </w:r>
      <w:proofErr w:type="spellStart"/>
      <w:r w:rsidR="00002F1B">
        <w:rPr>
          <w:rFonts w:cstheme="minorHAnsi"/>
          <w:sz w:val="24"/>
          <w:szCs w:val="24"/>
        </w:rPr>
        <w:t>Menger</w:t>
      </w:r>
      <w:proofErr w:type="spellEnd"/>
      <w:r w:rsidR="00002F1B">
        <w:rPr>
          <w:rFonts w:cstheme="minorHAnsi"/>
          <w:sz w:val="24"/>
          <w:szCs w:val="24"/>
        </w:rPr>
        <w:t xml:space="preserve"> </w:t>
      </w:r>
      <w:proofErr w:type="spellStart"/>
      <w:r w:rsidR="00002F1B">
        <w:rPr>
          <w:rFonts w:cstheme="minorHAnsi"/>
          <w:sz w:val="24"/>
          <w:szCs w:val="24"/>
        </w:rPr>
        <w:t>Cre</w:t>
      </w:r>
      <w:r w:rsidR="000E5CFD">
        <w:rPr>
          <w:rFonts w:cstheme="minorHAnsi"/>
          <w:sz w:val="24"/>
          <w:szCs w:val="24"/>
        </w:rPr>
        <w:t>e</w:t>
      </w:r>
      <w:r w:rsidR="00002F1B">
        <w:rPr>
          <w:rFonts w:cstheme="minorHAnsi"/>
          <w:sz w:val="24"/>
          <w:szCs w:val="24"/>
        </w:rPr>
        <w:t>ek</w:t>
      </w:r>
      <w:proofErr w:type="spellEnd"/>
      <w:r w:rsidR="00002F1B">
        <w:rPr>
          <w:rFonts w:cstheme="minorHAnsi"/>
          <w:sz w:val="24"/>
          <w:szCs w:val="24"/>
        </w:rPr>
        <w:t xml:space="preserve"> transmission line. </w:t>
      </w:r>
    </w:p>
    <w:p w:rsidR="000E5CFD" w:rsidRDefault="00055682" w:rsidP="00002F1B">
      <w:pPr>
        <w:autoSpaceDE w:val="0"/>
        <w:autoSpaceDN w:val="0"/>
        <w:adjustRightInd w:val="0"/>
        <w:ind w:firstLine="0"/>
        <w:rPr>
          <w:rFonts w:cstheme="minorHAnsi"/>
          <w:sz w:val="24"/>
          <w:szCs w:val="24"/>
        </w:rPr>
      </w:pPr>
      <w:r>
        <w:rPr>
          <w:rFonts w:cstheme="minorHAnsi"/>
          <w:sz w:val="24"/>
          <w:szCs w:val="24"/>
        </w:rPr>
        <w:tab/>
      </w:r>
      <w:r w:rsidR="001A15A0">
        <w:rPr>
          <w:rFonts w:cstheme="minorHAnsi"/>
          <w:sz w:val="24"/>
          <w:szCs w:val="24"/>
        </w:rPr>
        <w:t xml:space="preserve">I hereby waive hearing on this matter and submit this Response and my previous Statement on Route Adequacy as evidence in lieu of oral testimony and argument, unless CPS Energy is in disagreement with any of the foregoing, in which case, I request a hearing.  </w:t>
      </w:r>
    </w:p>
    <w:p w:rsidR="001A15A0" w:rsidRDefault="001A15A0" w:rsidP="00002F1B">
      <w:pPr>
        <w:autoSpaceDE w:val="0"/>
        <w:autoSpaceDN w:val="0"/>
        <w:adjustRightInd w:val="0"/>
        <w:ind w:firstLine="0"/>
        <w:rPr>
          <w:rFonts w:cstheme="minorHAnsi"/>
          <w:sz w:val="24"/>
          <w:szCs w:val="24"/>
        </w:rPr>
      </w:pPr>
    </w:p>
    <w:p w:rsidR="00C27183" w:rsidRPr="00002F1B" w:rsidRDefault="002357C1" w:rsidP="00002F1B">
      <w:pPr>
        <w:autoSpaceDE w:val="0"/>
        <w:autoSpaceDN w:val="0"/>
        <w:adjustRightInd w:val="0"/>
        <w:ind w:firstLine="0"/>
        <w:rPr>
          <w:rFonts w:cstheme="minorHAnsi"/>
          <w:sz w:val="24"/>
          <w:szCs w:val="24"/>
        </w:rPr>
      </w:pPr>
      <w:r w:rsidRPr="00002F1B">
        <w:rPr>
          <w:rFonts w:cstheme="minorHAnsi"/>
          <w:sz w:val="24"/>
          <w:szCs w:val="24"/>
        </w:rPr>
        <w:t>Dated this</w:t>
      </w:r>
      <w:r w:rsidR="00D00872">
        <w:rPr>
          <w:rFonts w:cstheme="minorHAnsi"/>
          <w:sz w:val="24"/>
          <w:szCs w:val="24"/>
        </w:rPr>
        <w:t xml:space="preserve"> </w:t>
      </w:r>
      <w:r w:rsidR="00360EBF">
        <w:rPr>
          <w:rFonts w:cstheme="minorHAnsi"/>
          <w:sz w:val="24"/>
          <w:szCs w:val="24"/>
        </w:rPr>
        <w:t>4th</w:t>
      </w:r>
      <w:r w:rsidR="00D00872">
        <w:rPr>
          <w:rFonts w:cstheme="minorHAnsi"/>
          <w:sz w:val="24"/>
          <w:szCs w:val="24"/>
        </w:rPr>
        <w:t xml:space="preserve"> </w:t>
      </w:r>
      <w:r w:rsidRPr="00002F1B">
        <w:rPr>
          <w:rFonts w:cstheme="minorHAnsi"/>
          <w:sz w:val="24"/>
          <w:szCs w:val="24"/>
        </w:rPr>
        <w:t xml:space="preserve"> day of </w:t>
      </w:r>
      <w:r w:rsidR="00360EBF">
        <w:rPr>
          <w:rFonts w:cstheme="minorHAnsi"/>
          <w:sz w:val="24"/>
          <w:szCs w:val="24"/>
        </w:rPr>
        <w:t>December</w:t>
      </w:r>
      <w:r w:rsidR="00D00872">
        <w:rPr>
          <w:rFonts w:cstheme="minorHAnsi"/>
          <w:sz w:val="24"/>
          <w:szCs w:val="24"/>
        </w:rPr>
        <w:t>,</w:t>
      </w:r>
      <w:r w:rsidRPr="00002F1B">
        <w:rPr>
          <w:rFonts w:cstheme="minorHAnsi"/>
          <w:sz w:val="24"/>
          <w:szCs w:val="24"/>
        </w:rPr>
        <w:t xml:space="preserve"> 2020. </w:t>
      </w:r>
    </w:p>
    <w:p w:rsidR="00C27183" w:rsidRPr="00353ABD" w:rsidRDefault="00C27183" w:rsidP="00C27183"/>
    <w:p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rsidTr="00CC450D">
        <w:tc>
          <w:tcPr>
            <w:tcW w:w="9350" w:type="dxa"/>
          </w:tcPr>
          <w:p w:rsidR="00C27183" w:rsidRDefault="00C27183" w:rsidP="00CC450D">
            <w:pPr>
              <w:pStyle w:val="AttorneyName"/>
              <w:rPr>
                <w:rFonts w:cstheme="minorHAnsi"/>
                <w:sz w:val="24"/>
                <w:szCs w:val="24"/>
              </w:rPr>
            </w:pPr>
            <w:r>
              <w:rPr>
                <w:rFonts w:cstheme="minorHAnsi"/>
                <w:sz w:val="24"/>
                <w:szCs w:val="24"/>
              </w:rPr>
              <w:t>Patrick Cleveland</w:t>
            </w:r>
          </w:p>
          <w:p w:rsidR="00C27183" w:rsidRDefault="00C27183" w:rsidP="00CC450D">
            <w:pPr>
              <w:pStyle w:val="AttorneyName"/>
              <w:rPr>
                <w:rFonts w:cstheme="minorHAnsi"/>
                <w:sz w:val="24"/>
                <w:szCs w:val="24"/>
              </w:rPr>
            </w:pPr>
            <w:r>
              <w:rPr>
                <w:rFonts w:cstheme="minorHAnsi"/>
                <w:sz w:val="24"/>
                <w:szCs w:val="24"/>
              </w:rPr>
              <w:t>High Country Ranch</w:t>
            </w:r>
          </w:p>
          <w:p w:rsidR="00C27183" w:rsidRDefault="00C27183" w:rsidP="00CC450D">
            <w:pPr>
              <w:pStyle w:val="AttorneyName"/>
              <w:rPr>
                <w:rFonts w:cstheme="minorHAnsi"/>
                <w:sz w:val="24"/>
                <w:szCs w:val="24"/>
              </w:rPr>
            </w:pPr>
            <w:r>
              <w:rPr>
                <w:rFonts w:cstheme="minorHAnsi"/>
                <w:sz w:val="24"/>
                <w:szCs w:val="24"/>
              </w:rPr>
              <w:t>26332 Willoughby Way</w:t>
            </w:r>
          </w:p>
          <w:p w:rsidR="00C27183" w:rsidRDefault="00C27183" w:rsidP="00CC450D">
            <w:pPr>
              <w:pStyle w:val="AttorneyName"/>
              <w:rPr>
                <w:rFonts w:cstheme="minorHAnsi"/>
                <w:sz w:val="24"/>
                <w:szCs w:val="24"/>
              </w:rPr>
            </w:pPr>
            <w:r>
              <w:rPr>
                <w:rFonts w:cstheme="minorHAnsi"/>
                <w:sz w:val="24"/>
                <w:szCs w:val="24"/>
              </w:rPr>
              <w:t>Boerne, TX 78006</w:t>
            </w:r>
          </w:p>
          <w:p w:rsidR="00C27183" w:rsidRDefault="00C27183" w:rsidP="00CC450D">
            <w:pPr>
              <w:pStyle w:val="AttorneyName"/>
              <w:rPr>
                <w:rFonts w:cstheme="minorHAnsi"/>
                <w:sz w:val="24"/>
                <w:szCs w:val="24"/>
              </w:rPr>
            </w:pPr>
            <w:r>
              <w:rPr>
                <w:rFonts w:cstheme="minorHAnsi"/>
                <w:sz w:val="24"/>
                <w:szCs w:val="24"/>
              </w:rPr>
              <w:t>T. 908-644-8372</w:t>
            </w:r>
          </w:p>
          <w:p w:rsidR="00C27183" w:rsidRPr="006172B4" w:rsidRDefault="00C27183" w:rsidP="00CC450D">
            <w:pPr>
              <w:pStyle w:val="AttorneyName"/>
              <w:rPr>
                <w:rFonts w:cstheme="minorHAnsi"/>
                <w:sz w:val="24"/>
                <w:szCs w:val="24"/>
              </w:rPr>
            </w:pPr>
            <w:r>
              <w:rPr>
                <w:rFonts w:cstheme="minorHAnsi"/>
                <w:sz w:val="24"/>
                <w:szCs w:val="24"/>
              </w:rPr>
              <w:t>Email: pjbgw@gvtc.com</w:t>
            </w:r>
          </w:p>
        </w:tc>
      </w:tr>
    </w:tbl>
    <w:p w:rsidR="00E72F14" w:rsidRDefault="00E72F14" w:rsidP="000E5CFD">
      <w:pPr>
        <w:ind w:firstLine="0"/>
        <w:rPr>
          <w:rFonts w:cstheme="minorHAnsi"/>
          <w:sz w:val="24"/>
          <w:szCs w:val="24"/>
        </w:rPr>
      </w:pPr>
    </w:p>
    <w:p w:rsidR="004F75C7" w:rsidRDefault="004F75C7" w:rsidP="000E5CFD">
      <w:pPr>
        <w:ind w:firstLine="0"/>
        <w:rPr>
          <w:rFonts w:cstheme="minorHAnsi"/>
          <w:sz w:val="24"/>
          <w:szCs w:val="24"/>
        </w:rPr>
      </w:pPr>
    </w:p>
    <w:p w:rsidR="004F75C7" w:rsidRDefault="004F75C7" w:rsidP="000E5CFD">
      <w:pPr>
        <w:ind w:firstLine="0"/>
        <w:rPr>
          <w:rFonts w:cstheme="minorHAnsi"/>
          <w:sz w:val="24"/>
          <w:szCs w:val="24"/>
        </w:rPr>
      </w:pPr>
    </w:p>
    <w:p w:rsidR="004F75C7" w:rsidRDefault="004F75C7" w:rsidP="000E5CFD">
      <w:pPr>
        <w:ind w:firstLine="0"/>
        <w:rPr>
          <w:rFonts w:cstheme="minorHAnsi"/>
          <w:sz w:val="24"/>
          <w:szCs w:val="24"/>
        </w:rPr>
      </w:pPr>
    </w:p>
    <w:p w:rsidR="004F75C7" w:rsidRDefault="004F75C7" w:rsidP="000E5CFD">
      <w:pPr>
        <w:ind w:firstLine="0"/>
        <w:rPr>
          <w:rFonts w:cstheme="minorHAnsi"/>
          <w:sz w:val="24"/>
          <w:szCs w:val="24"/>
        </w:rPr>
      </w:pPr>
    </w:p>
    <w:p w:rsidR="00FF2673" w:rsidRDefault="00FF2673" w:rsidP="000E5CFD">
      <w:pPr>
        <w:ind w:firstLine="0"/>
        <w:rPr>
          <w:rFonts w:cstheme="minorHAnsi"/>
          <w:sz w:val="24"/>
          <w:szCs w:val="24"/>
        </w:rPr>
      </w:pPr>
    </w:p>
    <w:p w:rsidR="00FF2673" w:rsidRDefault="00FF2673" w:rsidP="000E5CFD">
      <w:pPr>
        <w:ind w:firstLine="0"/>
        <w:rPr>
          <w:rFonts w:cstheme="minorHAnsi"/>
          <w:sz w:val="24"/>
          <w:szCs w:val="24"/>
        </w:rPr>
      </w:pPr>
    </w:p>
    <w:p w:rsidR="004F75C7" w:rsidRDefault="004F75C7" w:rsidP="000E5CFD">
      <w:pPr>
        <w:ind w:firstLine="0"/>
        <w:rPr>
          <w:rFonts w:cstheme="minorHAnsi"/>
          <w:sz w:val="24"/>
          <w:szCs w:val="24"/>
        </w:rPr>
      </w:pPr>
    </w:p>
    <w:p w:rsidR="004F75C7" w:rsidRDefault="004F75C7" w:rsidP="000E5CFD">
      <w:pPr>
        <w:ind w:firstLine="0"/>
        <w:rPr>
          <w:rFonts w:cstheme="minorHAnsi"/>
          <w:sz w:val="24"/>
          <w:szCs w:val="24"/>
        </w:rPr>
      </w:pPr>
    </w:p>
    <w:p w:rsidR="002357C1" w:rsidRPr="002357C1" w:rsidRDefault="00BE723A" w:rsidP="002357C1">
      <w:pPr>
        <w:ind w:left="2160" w:firstLine="720"/>
        <w:rPr>
          <w:rFonts w:cstheme="minorHAnsi"/>
          <w:sz w:val="24"/>
          <w:szCs w:val="24"/>
        </w:rPr>
      </w:pPr>
      <w:r>
        <w:rPr>
          <w:rFonts w:cstheme="minorHAnsi"/>
          <w:sz w:val="24"/>
          <w:szCs w:val="24"/>
        </w:rPr>
        <w:lastRenderedPageBreak/>
        <w:t>CERTIFICATE OF SERVICE</w:t>
      </w:r>
    </w:p>
    <w:p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360EBF">
        <w:rPr>
          <w:rFonts w:asciiTheme="minorHAnsi" w:hAnsiTheme="minorHAnsi" w:cstheme="minorHAnsi"/>
        </w:rPr>
        <w:t>December 4</w:t>
      </w:r>
      <w:r w:rsidRPr="002357C1">
        <w:rPr>
          <w:rFonts w:asciiTheme="minorHAnsi" w:hAnsiTheme="minorHAnsi" w:cstheme="minorHAnsi"/>
        </w:rPr>
        <w:t xml:space="preserve">, 2020, in accordance with the Order Suspending Rules, issued in Project No. 50664. </w:t>
      </w:r>
    </w:p>
    <w:p w:rsidR="00D00872" w:rsidRPr="002357C1" w:rsidRDefault="00D00872" w:rsidP="002357C1">
      <w:pPr>
        <w:pStyle w:val="NormalWeb"/>
        <w:spacing w:line="360" w:lineRule="auto"/>
        <w:rPr>
          <w:rFonts w:asciiTheme="minorHAnsi" w:hAnsiTheme="minorHAnsi" w:cstheme="minorHAnsi"/>
        </w:rPr>
      </w:pP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rsidR="00BE723A" w:rsidRPr="006172B4"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rsidR="00353ABD" w:rsidRPr="006172B4" w:rsidRDefault="00353ABD" w:rsidP="00BE723A">
      <w:pPr>
        <w:spacing w:line="240" w:lineRule="auto"/>
        <w:jc w:val="center"/>
        <w:rPr>
          <w:rFonts w:cstheme="minorHAnsi"/>
          <w:sz w:val="24"/>
          <w:szCs w:val="24"/>
        </w:rPr>
      </w:pP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01408" w:rsidRDefault="00701408">
      <w:r>
        <w:separator/>
      </w:r>
    </w:p>
    <w:p w:rsidR="00701408" w:rsidRDefault="00701408"/>
  </w:endnote>
  <w:endnote w:type="continuationSeparator" w:id="0">
    <w:p w:rsidR="00701408" w:rsidRDefault="00701408">
      <w:r>
        <w:continuationSeparator/>
      </w:r>
    </w:p>
    <w:p w:rsidR="00701408" w:rsidRDefault="00701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701408">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C27183">
          <w:t xml:space="preserve">Patrick cleveland: </w:t>
        </w:r>
        <w:r w:rsidR="004F75C7">
          <w:t xml:space="preserve">response to cps energy’s response to </w:t>
        </w:r>
        <w:r w:rsidR="00F44B64">
          <w:t>Statement of route adequacy</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01408" w:rsidRDefault="00701408">
      <w:r>
        <w:separator/>
      </w:r>
    </w:p>
    <w:p w:rsidR="00701408" w:rsidRDefault="00701408"/>
  </w:footnote>
  <w:footnote w:type="continuationSeparator" w:id="0">
    <w:p w:rsidR="00701408" w:rsidRDefault="00701408">
      <w:r>
        <w:continuationSeparator/>
      </w:r>
    </w:p>
    <w:p w:rsidR="00701408" w:rsidRDefault="00701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249D8AE5" wp14:editId="4AE6440A">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7ECD0D18" wp14:editId="1B7C4D47">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ABE53F4"/>
    <w:multiLevelType w:val="hybridMultilevel"/>
    <w:tmpl w:val="822C42E2"/>
    <w:lvl w:ilvl="0" w:tplc="D83884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2F1B"/>
    <w:rsid w:val="000162BE"/>
    <w:rsid w:val="00026AF9"/>
    <w:rsid w:val="0004048A"/>
    <w:rsid w:val="00055682"/>
    <w:rsid w:val="000B2ED0"/>
    <w:rsid w:val="000E371D"/>
    <w:rsid w:val="000E5CFD"/>
    <w:rsid w:val="00116B7F"/>
    <w:rsid w:val="00161B68"/>
    <w:rsid w:val="001A15A0"/>
    <w:rsid w:val="001A58C9"/>
    <w:rsid w:val="001D62EE"/>
    <w:rsid w:val="001E51E2"/>
    <w:rsid w:val="0022340C"/>
    <w:rsid w:val="0022377B"/>
    <w:rsid w:val="002357C1"/>
    <w:rsid w:val="0024621D"/>
    <w:rsid w:val="002659FD"/>
    <w:rsid w:val="00315259"/>
    <w:rsid w:val="003217C8"/>
    <w:rsid w:val="00321E3B"/>
    <w:rsid w:val="0032633B"/>
    <w:rsid w:val="00343387"/>
    <w:rsid w:val="00353ABD"/>
    <w:rsid w:val="00360EBF"/>
    <w:rsid w:val="00367D0D"/>
    <w:rsid w:val="0037456F"/>
    <w:rsid w:val="00396944"/>
    <w:rsid w:val="003A2162"/>
    <w:rsid w:val="003A65EA"/>
    <w:rsid w:val="003D0C60"/>
    <w:rsid w:val="003D37CD"/>
    <w:rsid w:val="003E38DE"/>
    <w:rsid w:val="003F04FC"/>
    <w:rsid w:val="003F4B93"/>
    <w:rsid w:val="00441EBC"/>
    <w:rsid w:val="00474407"/>
    <w:rsid w:val="00483259"/>
    <w:rsid w:val="0049347D"/>
    <w:rsid w:val="004F75C7"/>
    <w:rsid w:val="005343BE"/>
    <w:rsid w:val="00564AB3"/>
    <w:rsid w:val="0057472A"/>
    <w:rsid w:val="00574CE6"/>
    <w:rsid w:val="005B6E2F"/>
    <w:rsid w:val="00601433"/>
    <w:rsid w:val="00610EB9"/>
    <w:rsid w:val="006172B4"/>
    <w:rsid w:val="00623644"/>
    <w:rsid w:val="006518DC"/>
    <w:rsid w:val="00663196"/>
    <w:rsid w:val="00663D41"/>
    <w:rsid w:val="006E2BD1"/>
    <w:rsid w:val="00701408"/>
    <w:rsid w:val="0071462B"/>
    <w:rsid w:val="00722195"/>
    <w:rsid w:val="007357F6"/>
    <w:rsid w:val="0079527D"/>
    <w:rsid w:val="00811C85"/>
    <w:rsid w:val="0083608B"/>
    <w:rsid w:val="00895FB1"/>
    <w:rsid w:val="008C20DE"/>
    <w:rsid w:val="008C26FF"/>
    <w:rsid w:val="008C5774"/>
    <w:rsid w:val="00933C48"/>
    <w:rsid w:val="009709AF"/>
    <w:rsid w:val="009918DE"/>
    <w:rsid w:val="00993B11"/>
    <w:rsid w:val="009B5E7E"/>
    <w:rsid w:val="009F0E74"/>
    <w:rsid w:val="00A0013B"/>
    <w:rsid w:val="00A43CE7"/>
    <w:rsid w:val="00A82765"/>
    <w:rsid w:val="00A90E8B"/>
    <w:rsid w:val="00AE557D"/>
    <w:rsid w:val="00B32C83"/>
    <w:rsid w:val="00B75CE3"/>
    <w:rsid w:val="00BE723A"/>
    <w:rsid w:val="00C15C16"/>
    <w:rsid w:val="00C208C8"/>
    <w:rsid w:val="00C22F4F"/>
    <w:rsid w:val="00C27183"/>
    <w:rsid w:val="00C560A5"/>
    <w:rsid w:val="00D00872"/>
    <w:rsid w:val="00DA4B2D"/>
    <w:rsid w:val="00DB2AB5"/>
    <w:rsid w:val="00E72F14"/>
    <w:rsid w:val="00F44B64"/>
    <w:rsid w:val="00F62912"/>
    <w:rsid w:val="00F66859"/>
    <w:rsid w:val="00F7343F"/>
    <w:rsid w:val="00F90E99"/>
    <w:rsid w:val="00F91927"/>
    <w:rsid w:val="00FA22C1"/>
    <w:rsid w:val="00FE2E3F"/>
    <w:rsid w:val="00FF2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22357F"/>
    <w:rsid w:val="003B24B9"/>
    <w:rsid w:val="005E00DD"/>
    <w:rsid w:val="00956713"/>
    <w:rsid w:val="00A44439"/>
    <w:rsid w:val="00A66E20"/>
    <w:rsid w:val="00A75BCE"/>
    <w:rsid w:val="00B02C19"/>
    <w:rsid w:val="00CC52D0"/>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1</TotalTime>
  <Pages>7</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Patrick cleveland: Protective order certification</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response to cps energy’s response to Statement of route adequacy</dc:title>
  <dc:creator>Microsoft Office User</dc:creator>
  <cp:lastModifiedBy>Patrick Cleveland</cp:lastModifiedBy>
  <cp:revision>2</cp:revision>
  <cp:lastPrinted>2020-07-27T16:25:00Z</cp:lastPrinted>
  <dcterms:created xsi:type="dcterms:W3CDTF">2020-12-04T20:18:00Z</dcterms:created>
  <dcterms:modified xsi:type="dcterms:W3CDTF">2020-12-04T20:18:00Z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